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C54329">
        <w:rPr>
          <w:rFonts w:ascii="Tahoma" w:hAnsi="Tahoma" w:cs="Tahoma"/>
          <w:sz w:val="22"/>
          <w:szCs w:val="22"/>
        </w:rPr>
        <w:t>18</w:t>
      </w:r>
      <w:r w:rsidR="001B4271" w:rsidRPr="00E220AB">
        <w:rPr>
          <w:rFonts w:ascii="Tahoma" w:hAnsi="Tahoma" w:cs="Tahoma"/>
          <w:sz w:val="22"/>
          <w:szCs w:val="22"/>
        </w:rPr>
        <w:t>/202</w:t>
      </w:r>
      <w:r w:rsidR="00CB125E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CB125E">
        <w:rPr>
          <w:rFonts w:ascii="Tahoma" w:hAnsi="Tahoma" w:cs="Tahoma"/>
          <w:sz w:val="22"/>
          <w:szCs w:val="22"/>
        </w:rPr>
        <w:t>Decreto nº. 3678/2022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C54329">
        <w:rPr>
          <w:rFonts w:ascii="Tahoma" w:hAnsi="Tahoma" w:cs="Tahoma"/>
          <w:sz w:val="22"/>
          <w:szCs w:val="22"/>
        </w:rPr>
        <w:t>25</w:t>
      </w:r>
      <w:r>
        <w:rPr>
          <w:rFonts w:ascii="Tahoma" w:hAnsi="Tahoma" w:cs="Tahoma"/>
          <w:sz w:val="22"/>
          <w:szCs w:val="22"/>
        </w:rPr>
        <w:t>/</w:t>
      </w:r>
      <w:r w:rsidR="00C54329">
        <w:rPr>
          <w:rFonts w:ascii="Tahoma" w:hAnsi="Tahoma" w:cs="Tahoma"/>
          <w:sz w:val="22"/>
          <w:szCs w:val="22"/>
        </w:rPr>
        <w:t>04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CB125E">
        <w:rPr>
          <w:rFonts w:ascii="Tahoma" w:hAnsi="Tahoma" w:cs="Tahoma"/>
          <w:sz w:val="22"/>
          <w:szCs w:val="22"/>
        </w:rPr>
        <w:t>06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proofErr w:type="gramStart"/>
      <w:r w:rsidR="00C70409">
        <w:rPr>
          <w:rFonts w:ascii="Tahoma" w:hAnsi="Tahoma" w:cs="Tahoma"/>
          <w:sz w:val="22"/>
          <w:szCs w:val="22"/>
        </w:rPr>
        <w:t>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>:</w:t>
      </w:r>
      <w:proofErr w:type="gramEnd"/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CB125E">
        <w:rPr>
          <w:rFonts w:ascii="Tahoma" w:hAnsi="Tahoma" w:cs="Tahoma"/>
          <w:color w:val="000000"/>
          <w:sz w:val="22"/>
          <w:szCs w:val="22"/>
        </w:rPr>
        <w:t>maquinas agrícolas, conforme convênio n° 1678-2021 processo 252992/2021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C54329">
        <w:rPr>
          <w:rFonts w:ascii="Tahoma" w:hAnsi="Tahoma" w:cs="Tahoma"/>
          <w:sz w:val="22"/>
          <w:szCs w:val="22"/>
        </w:rPr>
        <w:t>teve como resultado: D</w:t>
      </w:r>
      <w:r w:rsidR="00CB125E">
        <w:rPr>
          <w:rFonts w:ascii="Tahoma" w:hAnsi="Tahoma" w:cs="Tahoma"/>
          <w:sz w:val="22"/>
          <w:szCs w:val="22"/>
        </w:rPr>
        <w:t>eserto</w:t>
      </w:r>
      <w:r w:rsidR="00C54329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C54329">
        <w:rPr>
          <w:rFonts w:ascii="Tahoma" w:hAnsi="Tahoma" w:cs="Tahoma"/>
          <w:sz w:val="22"/>
          <w:szCs w:val="22"/>
        </w:rPr>
        <w:t>29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C54329">
        <w:rPr>
          <w:rFonts w:ascii="Tahoma" w:hAnsi="Tahoma" w:cs="Tahoma"/>
          <w:sz w:val="22"/>
          <w:szCs w:val="22"/>
        </w:rPr>
        <w:t>abril</w:t>
      </w:r>
      <w:bookmarkStart w:id="0" w:name="_GoBack"/>
      <w:bookmarkEnd w:id="0"/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C54329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54329"/>
    <w:rsid w:val="00C70409"/>
    <w:rsid w:val="00CB125E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2022-04-29T18:18:00Z</dcterms:modified>
</cp:coreProperties>
</file>